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2C" w:rsidRPr="00CC71C2" w:rsidRDefault="00CC71C2" w:rsidP="00CC71C2">
      <w:pPr>
        <w:pStyle w:val="a3"/>
        <w:shd w:val="clear" w:color="auto" w:fill="FFFFFF"/>
        <w:spacing w:before="0" w:beforeAutospacing="0" w:after="0" w:afterAutospacing="0"/>
        <w:jc w:val="center"/>
        <w:rPr>
          <w:rFonts w:ascii="仿宋" w:eastAsia="仿宋" w:hAnsi="仿宋" w:cs="Calibri"/>
          <w:sz w:val="32"/>
          <w:szCs w:val="32"/>
        </w:rPr>
      </w:pPr>
      <w:r>
        <w:rPr>
          <w:rFonts w:ascii="仿宋" w:eastAsia="仿宋" w:hAnsi="仿宋" w:cs="Calibri"/>
          <w:sz w:val="32"/>
          <w:szCs w:val="32"/>
        </w:rPr>
        <w:t>动产和权利担保统一登记办法</w:t>
      </w:r>
    </w:p>
    <w:p w:rsidR="0014317F" w:rsidRPr="00CC71C2" w:rsidRDefault="00C1672C" w:rsidP="00CC71C2">
      <w:pPr>
        <w:pStyle w:val="a3"/>
        <w:shd w:val="clear" w:color="auto" w:fill="FFFFFF"/>
        <w:spacing w:before="0" w:beforeAutospacing="0" w:after="0" w:afterAutospacing="0"/>
        <w:jc w:val="center"/>
        <w:rPr>
          <w:rFonts w:ascii="仿宋" w:eastAsia="仿宋" w:hAnsi="仿宋" w:cs="Calibri"/>
          <w:sz w:val="32"/>
          <w:szCs w:val="32"/>
        </w:rPr>
      </w:pPr>
      <w:r w:rsidRPr="00CC71C2">
        <w:rPr>
          <w:rFonts w:ascii="仿宋" w:eastAsia="仿宋" w:hAnsi="仿宋" w:cs="Calibri"/>
          <w:sz w:val="32"/>
          <w:szCs w:val="32"/>
        </w:rPr>
        <w:t>中国人民银行令﹝2021﹞第7号</w:t>
      </w:r>
    </w:p>
    <w:p w:rsidR="00CC71C2" w:rsidRDefault="00CC71C2" w:rsidP="00CC71C2">
      <w:pPr>
        <w:pStyle w:val="a3"/>
        <w:shd w:val="clear" w:color="auto" w:fill="FFFFFF"/>
        <w:spacing w:before="0" w:beforeAutospacing="0" w:after="0" w:afterAutospacing="0"/>
        <w:ind w:firstLineChars="200" w:firstLine="640"/>
        <w:rPr>
          <w:rFonts w:ascii="Calibri" w:hAnsi="Calibri" w:cs="Calibri"/>
          <w:sz w:val="21"/>
          <w:szCs w:val="21"/>
        </w:rPr>
      </w:pPr>
      <w:r>
        <w:rPr>
          <w:rFonts w:ascii="仿宋" w:eastAsia="仿宋" w:hAnsi="仿宋" w:cs="Calibri" w:hint="eastAsia"/>
          <w:sz w:val="32"/>
          <w:szCs w:val="32"/>
        </w:rPr>
        <w:t>为落实《国务院关于实施动产和权利担保统一登记的决定》的相关要求，规范动产和权利担保统一登记服务，中国人民银行于近日发布了《动产和权利担保统一登记办法》（以下简称《办法》），于2022年2月1日正式施行，《应收账款质押登记办法》（中国人民银行令〔2019〕第4号）同时废止。</w:t>
      </w:r>
    </w:p>
    <w:p w:rsidR="00CC71C2" w:rsidRDefault="00CC71C2" w:rsidP="00CC71C2">
      <w:pPr>
        <w:pStyle w:val="a3"/>
        <w:shd w:val="clear" w:color="auto" w:fill="FFFFFF"/>
        <w:spacing w:before="0" w:beforeAutospacing="0" w:after="0" w:afterAutospacing="0"/>
        <w:ind w:firstLineChars="150" w:firstLine="480"/>
        <w:rPr>
          <w:rFonts w:ascii="Calibri" w:hAnsi="Calibri" w:cs="Calibri"/>
          <w:sz w:val="21"/>
          <w:szCs w:val="21"/>
        </w:rPr>
      </w:pPr>
      <w:r>
        <w:rPr>
          <w:rFonts w:ascii="仿宋" w:eastAsia="仿宋" w:hAnsi="仿宋" w:cs="Calibri" w:hint="eastAsia"/>
          <w:sz w:val="32"/>
          <w:szCs w:val="32"/>
        </w:rPr>
        <w:t>《办法》进一步明确动产和权利担保统一登记范围、登记机构及职责，细化登记内容，优化登记和查询操作流程，将更好地引导市场主体规范开展动产和权利担保登记与查询活动，进一步提高动产和权利担保融资效率，优化营商环境。</w:t>
      </w:r>
    </w:p>
    <w:p w:rsidR="00CC71C2" w:rsidRDefault="00CC71C2" w:rsidP="00CC71C2">
      <w:pPr>
        <w:pStyle w:val="a3"/>
        <w:shd w:val="clear" w:color="auto" w:fill="FFFFFF"/>
        <w:spacing w:before="0" w:beforeAutospacing="0" w:after="0" w:afterAutospacing="0"/>
        <w:ind w:firstLineChars="250" w:firstLine="800"/>
        <w:rPr>
          <w:rFonts w:ascii="Calibri" w:hAnsi="Calibri" w:cs="Calibri"/>
          <w:sz w:val="21"/>
          <w:szCs w:val="21"/>
        </w:rPr>
      </w:pPr>
      <w:r>
        <w:rPr>
          <w:rFonts w:ascii="仿宋" w:eastAsia="仿宋" w:hAnsi="仿宋" w:cs="Calibri" w:hint="eastAsia"/>
          <w:sz w:val="32"/>
          <w:szCs w:val="32"/>
        </w:rPr>
        <w:t>附件：中国人民银行令〔2021〕第7号</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黑体" w:eastAsia="黑体" w:hAnsi="黑体" w:hint="eastAsia"/>
          <w:b/>
          <w:bCs/>
          <w:color w:val="000000"/>
          <w:sz w:val="32"/>
          <w:szCs w:val="32"/>
        </w:rPr>
        <w:br w:type="page"/>
      </w:r>
      <w:r>
        <w:rPr>
          <w:rFonts w:ascii="Calibri" w:hAnsi="Calibri" w:cs="Calibri"/>
          <w:sz w:val="21"/>
          <w:szCs w:val="21"/>
        </w:rPr>
        <w:lastRenderedPageBreak/>
        <w:t> </w:t>
      </w:r>
      <w:r>
        <w:rPr>
          <w:rFonts w:ascii="黑体" w:eastAsia="黑体" w:hAnsi="黑体" w:cs="Calibri" w:hint="eastAsia"/>
          <w:b/>
          <w:bCs/>
          <w:color w:val="000000"/>
          <w:sz w:val="32"/>
          <w:szCs w:val="32"/>
        </w:rPr>
        <w:t>附件</w:t>
      </w:r>
    </w:p>
    <w:p w:rsidR="00CC71C2" w:rsidRPr="00CC71C2" w:rsidRDefault="00CC71C2" w:rsidP="00CC71C2">
      <w:pPr>
        <w:pStyle w:val="a3"/>
        <w:shd w:val="clear" w:color="auto" w:fill="FFFFFF"/>
        <w:spacing w:before="0" w:beforeAutospacing="0" w:after="0" w:afterAutospacing="0"/>
        <w:jc w:val="center"/>
        <w:rPr>
          <w:rFonts w:ascii="Calibri" w:hAnsi="Calibri" w:cs="Calibri"/>
          <w:sz w:val="21"/>
          <w:szCs w:val="21"/>
        </w:rPr>
      </w:pPr>
      <w:r w:rsidRPr="00CC71C2">
        <w:rPr>
          <w:rFonts w:ascii="仿宋" w:eastAsia="仿宋" w:hAnsi="仿宋" w:cs="Calibri" w:hint="eastAsia"/>
          <w:bCs/>
          <w:color w:val="000000"/>
          <w:sz w:val="32"/>
          <w:szCs w:val="32"/>
        </w:rPr>
        <w:t>中国人民银行令〔2021〕第7号</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《动产和权利担保统一登记办法》已经2021年11月18日中国人民银行2021年第11次行务会议审议通过，现予发布，自2022年2月1日起施行。</w:t>
      </w:r>
    </w:p>
    <w:p w:rsidR="00CC71C2" w:rsidRDefault="00CC71C2" w:rsidP="00CC71C2">
      <w:pPr>
        <w:pStyle w:val="a3"/>
        <w:shd w:val="clear" w:color="auto" w:fill="FFFFFF"/>
        <w:spacing w:before="0" w:beforeAutospacing="0" w:after="0" w:afterAutospacing="0"/>
        <w:jc w:val="right"/>
        <w:rPr>
          <w:rFonts w:ascii="Calibri" w:hAnsi="Calibri" w:cs="Calibri"/>
          <w:sz w:val="21"/>
          <w:szCs w:val="21"/>
        </w:rPr>
      </w:pPr>
      <w:r>
        <w:rPr>
          <w:rFonts w:ascii="仿宋" w:eastAsia="仿宋" w:hAnsi="仿宋" w:cs="Calibri" w:hint="eastAsia"/>
          <w:color w:val="000000"/>
          <w:sz w:val="32"/>
          <w:szCs w:val="32"/>
        </w:rPr>
        <w:t xml:space="preserve">　　行　长</w:t>
      </w:r>
      <w:r>
        <w:rPr>
          <w:rFonts w:cs="Calibri" w:hint="eastAsia"/>
          <w:color w:val="000000"/>
          <w:sz w:val="32"/>
          <w:szCs w:val="32"/>
        </w:rPr>
        <w:t> </w:t>
      </w:r>
      <w:r>
        <w:rPr>
          <w:rFonts w:ascii="仿宋" w:eastAsia="仿宋" w:hAnsi="仿宋" w:cs="Calibri" w:hint="eastAsia"/>
          <w:color w:val="000000"/>
          <w:sz w:val="32"/>
          <w:szCs w:val="32"/>
        </w:rPr>
        <w:t>易纲</w:t>
      </w:r>
    </w:p>
    <w:p w:rsidR="00CC71C2" w:rsidRDefault="00CC71C2" w:rsidP="00CC71C2">
      <w:pPr>
        <w:pStyle w:val="a3"/>
        <w:shd w:val="clear" w:color="auto" w:fill="FFFFFF"/>
        <w:spacing w:before="0" w:beforeAutospacing="0" w:after="0" w:afterAutospacing="0"/>
        <w:jc w:val="right"/>
        <w:rPr>
          <w:rFonts w:ascii="Calibri" w:hAnsi="Calibri" w:cs="Calibri"/>
          <w:sz w:val="21"/>
          <w:szCs w:val="21"/>
        </w:rPr>
      </w:pPr>
      <w:r>
        <w:rPr>
          <w:rFonts w:ascii="仿宋" w:eastAsia="仿宋" w:hAnsi="仿宋" w:cs="Calibri" w:hint="eastAsia"/>
          <w:color w:val="000000"/>
          <w:sz w:val="32"/>
          <w:szCs w:val="32"/>
        </w:rPr>
        <w:t xml:space="preserve">　　2021年12月28日</w:t>
      </w:r>
    </w:p>
    <w:p w:rsidR="00CC71C2" w:rsidRDefault="00CC71C2" w:rsidP="00CC71C2">
      <w:pPr>
        <w:pStyle w:val="a3"/>
        <w:shd w:val="clear" w:color="auto" w:fill="FFFFFF"/>
        <w:spacing w:before="0" w:beforeAutospacing="0" w:after="0" w:afterAutospacing="0"/>
        <w:jc w:val="right"/>
        <w:rPr>
          <w:rFonts w:ascii="Calibri" w:hAnsi="Calibri" w:cs="Calibri"/>
          <w:sz w:val="21"/>
          <w:szCs w:val="21"/>
        </w:rPr>
      </w:pPr>
      <w:r>
        <w:rPr>
          <w:rFonts w:ascii="Calibri" w:hAnsi="Calibri" w:cs="Calibri"/>
          <w:sz w:val="21"/>
          <w:szCs w:val="21"/>
        </w:rPr>
        <w:t> </w:t>
      </w:r>
    </w:p>
    <w:p w:rsidR="00CC71C2" w:rsidRDefault="00CC71C2" w:rsidP="00CC71C2">
      <w:pPr>
        <w:pStyle w:val="a3"/>
        <w:shd w:val="clear" w:color="auto" w:fill="FFFFFF"/>
        <w:spacing w:before="0" w:beforeAutospacing="0" w:after="0" w:afterAutospacing="0"/>
        <w:jc w:val="right"/>
        <w:rPr>
          <w:rFonts w:ascii="Calibri" w:hAnsi="Calibri" w:cs="Calibri"/>
          <w:sz w:val="21"/>
          <w:szCs w:val="21"/>
        </w:rPr>
      </w:pPr>
      <w:r>
        <w:rPr>
          <w:rFonts w:ascii="Calibri" w:hAnsi="Calibri" w:cs="Calibri"/>
          <w:sz w:val="21"/>
          <w:szCs w:val="21"/>
        </w:rPr>
        <w:t> </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cs="Calibri" w:hint="eastAsia"/>
          <w:b/>
          <w:bCs/>
          <w:color w:val="000000"/>
          <w:sz w:val="32"/>
          <w:szCs w:val="32"/>
        </w:rPr>
        <w:t>动产和权利担保统一登记办法</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ascii="Calibri" w:hAnsi="Calibri" w:cs="Calibri"/>
          <w:sz w:val="21"/>
          <w:szCs w:val="21"/>
        </w:rPr>
        <w:t> </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ascii="黑体" w:eastAsia="黑体" w:hAnsi="黑体" w:cs="Calibri" w:hint="eastAsia"/>
          <w:color w:val="000000"/>
          <w:sz w:val="32"/>
          <w:szCs w:val="32"/>
        </w:rPr>
        <w:t>第一章　总</w:t>
      </w:r>
      <w:r>
        <w:rPr>
          <w:rFonts w:cs="Calibri" w:hint="eastAsia"/>
          <w:color w:val="000000"/>
          <w:sz w:val="32"/>
          <w:szCs w:val="32"/>
        </w:rPr>
        <w:t> </w:t>
      </w:r>
      <w:r>
        <w:rPr>
          <w:rFonts w:ascii="黑体" w:eastAsia="黑体" w:hAnsi="黑体" w:cs="Calibri" w:hint="eastAsia"/>
          <w:color w:val="000000"/>
          <w:sz w:val="32"/>
          <w:szCs w:val="32"/>
        </w:rPr>
        <w:t xml:space="preserve"> 则</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第一条</w:t>
      </w:r>
      <w:r>
        <w:rPr>
          <w:rFonts w:cs="Calibri" w:hint="eastAsia"/>
          <w:color w:val="000000"/>
          <w:sz w:val="32"/>
          <w:szCs w:val="32"/>
        </w:rPr>
        <w:t> </w:t>
      </w:r>
      <w:r>
        <w:rPr>
          <w:rFonts w:ascii="仿宋" w:eastAsia="仿宋" w:hAnsi="仿宋" w:cs="Calibri" w:hint="eastAsia"/>
          <w:color w:val="000000"/>
          <w:sz w:val="32"/>
          <w:szCs w:val="32"/>
        </w:rPr>
        <w:t xml:space="preserve"> 为规范动产和权利担保统一登记，保护担保当事人和利害关系人的合法权益，根据《中华人民共和国民法典》《优化营商环境条例》《国务院关于实施动产和权利担保统一登记的决定》（国发〔2020〕18号）等相关法律法规规定，制定本办法。</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第二条</w:t>
      </w:r>
      <w:r>
        <w:rPr>
          <w:rFonts w:cs="Calibri" w:hint="eastAsia"/>
          <w:color w:val="000000"/>
          <w:sz w:val="32"/>
          <w:szCs w:val="32"/>
        </w:rPr>
        <w:t> </w:t>
      </w:r>
      <w:r>
        <w:rPr>
          <w:rFonts w:ascii="仿宋" w:eastAsia="仿宋" w:hAnsi="仿宋" w:cs="Calibri" w:hint="eastAsia"/>
          <w:color w:val="000000"/>
          <w:sz w:val="32"/>
          <w:szCs w:val="32"/>
        </w:rPr>
        <w:t xml:space="preserve"> 纳入动产和权利担保统一登记范围的担保类型包括：</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（一）生产设备、原材料、半成品、产品抵押；</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（二）应收账款质押；</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（三）存款单、仓单、提单质押；</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（四）融资租赁；</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（五）保理；</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（六）所有权保留；</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（七）其他可以登记的动产和权利担保，但机动车抵押、船舶抵押、航空器抵押、债券质押、基金份额质押、股权质押、知识产权中的财产权质押除外。</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第三条　本办法所称</w:t>
      </w:r>
      <w:r w:rsidRPr="00CC71C2">
        <w:rPr>
          <w:rFonts w:ascii="仿宋" w:eastAsia="仿宋" w:hAnsi="仿宋" w:cs="Calibri" w:hint="eastAsia"/>
          <w:b/>
          <w:color w:val="FF0000"/>
          <w:sz w:val="32"/>
          <w:szCs w:val="32"/>
        </w:rPr>
        <w:t>应收账款</w:t>
      </w:r>
      <w:r>
        <w:rPr>
          <w:rFonts w:ascii="仿宋" w:eastAsia="仿宋" w:hAnsi="仿宋" w:cs="Calibri" w:hint="eastAsia"/>
          <w:color w:val="000000"/>
          <w:sz w:val="32"/>
          <w:szCs w:val="32"/>
        </w:rPr>
        <w:t>是指应收账款债权人因提供一定的货物、服务或设施而获得的要求应收账款债务人付款的权利以及依法享有的其他付款请求权，包括现有的以及将有的金钱债权，但不包括因票据或其他有价证券而产生的付款请求权，以及法律、行政法规禁止转让的付款请求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本办法所称的应收账款包括下列权利：</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（一）销售、出租产生的债权，包括销售货物，供应水、电、气、暖，知识产权的许可使用，出租动产或不动产等；</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（二）提供医疗、教育、旅游等服务或劳务产生的债权；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（三）能源、交通运输、水利、环境保护、市政工程等基础设施和公用事业项目收益权；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（四）提供贷款或其他信用活动产生的债权；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（五）其他以合同为基础的具有金钱给付内容的债权。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第四条　</w:t>
      </w:r>
      <w:r w:rsidRPr="00CC71C2">
        <w:rPr>
          <w:rFonts w:ascii="仿宋" w:eastAsia="仿宋" w:hAnsi="仿宋" w:cs="Calibri" w:hint="eastAsia"/>
          <w:b/>
          <w:color w:val="0000FF"/>
          <w:sz w:val="32"/>
          <w:szCs w:val="32"/>
        </w:rPr>
        <w:t>中国人民银行征信中心（以下简称征信中心）是动产和权利担保的登记机构</w:t>
      </w:r>
      <w:r>
        <w:rPr>
          <w:rFonts w:ascii="仿宋" w:eastAsia="仿宋" w:hAnsi="仿宋" w:cs="Calibri" w:hint="eastAsia"/>
          <w:color w:val="000000"/>
          <w:sz w:val="32"/>
          <w:szCs w:val="32"/>
        </w:rPr>
        <w:t>，具体承担服务性登记工作，不开展事前审批性登记，</w:t>
      </w:r>
      <w:r w:rsidRPr="00CC71C2">
        <w:rPr>
          <w:rFonts w:ascii="仿宋" w:eastAsia="仿宋" w:hAnsi="仿宋" w:cs="Calibri" w:hint="eastAsia"/>
          <w:b/>
          <w:color w:val="000000"/>
          <w:sz w:val="32"/>
          <w:szCs w:val="32"/>
        </w:rPr>
        <w:t>不对登记内容进行实质审查</w:t>
      </w:r>
      <w:r>
        <w:rPr>
          <w:rFonts w:ascii="仿宋" w:eastAsia="仿宋" w:hAnsi="仿宋" w:cs="Calibri" w:hint="eastAsia"/>
          <w:color w:val="000000"/>
          <w:sz w:val="32"/>
          <w:szCs w:val="32"/>
        </w:rPr>
        <w:t>。</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征信中心建立基于互联网的动产融资统一登记公示系统（以下简称统一登记系统）为社会公众提供动产和权利担保登记和查询服务。</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第五条　中国人民银行对征信中心登记和查询服务有关活动进行督促指导。</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ascii="仿宋" w:eastAsia="仿宋" w:hAnsi="仿宋" w:cs="Calibri" w:hint="eastAsia"/>
          <w:color w:val="000000"/>
          <w:sz w:val="32"/>
          <w:szCs w:val="32"/>
        </w:rPr>
        <w:t xml:space="preserve">　　</w:t>
      </w:r>
      <w:r>
        <w:rPr>
          <w:rFonts w:ascii="黑体" w:eastAsia="黑体" w:hAnsi="黑体" w:cs="Calibri" w:hint="eastAsia"/>
          <w:color w:val="000000"/>
          <w:sz w:val="32"/>
          <w:szCs w:val="32"/>
        </w:rPr>
        <w:t>第二章　登记与查询</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第六条　纳入统一登记范围的动产和权利担保登记通过统一登记系统办理。</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第七条　担保权人办理登记。担保权人办理登记前，应当与担保人就登记内容达成一致。</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担保权人也可以委托他人办理登记。委托他人办理登记的，适用本办法关于担保权人办理登记的规定。</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第八条　担保权人办理登记时，应当注册为统一登记系统的用户。</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第九条　登记内容包括担保权人和担保人的基本信息、担保财产的描述、登记期限。</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或担保人为法人、非法人组织的，应当填写法人、非法人组织的法定注册名称、住所、法定代表人或负责人姓名，金融机构编码、统一社会信用代码、全球法人识别编码等机构代码或编码以及其他相关信息。</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担保权人或担保人为自然人的，应当填写有效身份证件号码、有效身份证件载明的地址等信息。</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担保权人可以与担保人约定将主债权金额、担保范围、禁止或限制转让的担保财产等项目作为登记内容。对担保财产进行概括性描述的，应当能够合理识别担保财产。</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最高额担保应登记最高债权额。</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第十条　担保权人应当将填写完毕的登记内容提交统一登记系统。统一登记系统记录提交时间并分配登记编号，生成初始登记证明和修改码提供给担保权人。</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第十一条　担保权人应当根据主债权履行期限合理确定登记期限。</w:t>
      </w:r>
      <w:r w:rsidRPr="00CC71C2">
        <w:rPr>
          <w:rFonts w:ascii="仿宋" w:eastAsia="仿宋" w:hAnsi="仿宋" w:cs="Calibri" w:hint="eastAsia"/>
          <w:b/>
          <w:color w:val="0000FF"/>
          <w:sz w:val="32"/>
          <w:szCs w:val="32"/>
        </w:rPr>
        <w:t>登记期限最短1个月，最长不超过30年</w:t>
      </w:r>
      <w:r>
        <w:rPr>
          <w:rFonts w:ascii="仿宋" w:eastAsia="仿宋" w:hAnsi="仿宋" w:cs="Calibri" w:hint="eastAsia"/>
          <w:color w:val="000000"/>
          <w:sz w:val="32"/>
          <w:szCs w:val="32"/>
        </w:rPr>
        <w:t>。</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第十二条　在登记期限届满前，担保权人可以申请展期。</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担保权人可以多次展期，每次展期期限最短1个月，最长不超过30年。</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第十三条　登记内容存在遗漏、错误等情形或登记内容发生变化的，担保权人应当办理变更登记。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担保权人在原登记中增加新的担保财产的，新增加的部分视为新的登记。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第十四条　担保权人办理登记时所填写的担保人法定注册名称或有效身份证件号码变更的，担保权人应当自变更之日起4个月内办理变更登记。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第十五条　担保权人办理展期、变更登记的，应当与担保人就展期、变更事项达成一致。</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第十六条　有下列情形之一的，担保权人应当自该情形发生之日起10个工作日内办理注销登记：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（一）主债权消灭；</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（二）担保权利实现；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（三）担保权人放弃登记载明的担保财产之上的全部担保权；</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（四）其他导致所登记权利消灭的情形。</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担保权人迟延办理注销登记，给他人造成损害的，应当承担相应的法律责任。</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第十七条　担保权人凭修改码办理展期、变更登记、注销登记。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第十八条　担保人或其他利害关系人认为登记内容错误的，可以要求担保权人办理变更登记或注销登记。担保权人不同意变更或注销的，担保人或其他利害关系人可以办理异议登记。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办理异议登记的担保人或其他利害关系人可以自行注销异议登记。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第十九条　担保人或其他利害关系人应当自异议登记办理完毕之日起7日内通知担保权人。</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第二十条　担保人或其他利害关系人自异议登记之日起30日内，未就争议起诉或提请仲裁并在统一登记系统提交案件受理通知的，征信中心撤销异议登记。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第二十一条　应担保人或其他利害关系人、担保权人的申请，征信中心根据对担保人或其他利害关系人、担保权人生效的人民法院判决、裁定或仲裁机构裁决等法律文书撤销相关登记。</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第二十二条　担保权人办理变更登记和注销登记、担保人或其他利害关系人办理异议登记后，统一登记系统记录登记时间、分配登记编号，并生成变更登记、注销登记或异议登记证明。</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第二十三条　担保权人开展动产和权利担保融资业务时，应当严格审核确认担保财产的真实性，并在统一登记系统中查询担保财产的权利负担状况。</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第二十四条　担保权人、担保人和其他利害关系人应当按照统一登记系统提示项目如实登记，并对登记内容的真实性、完整性和合法性负责。因担保权人或担保人名称填写错误，担保财产描述不能够合理识别担保财产等情形导致不能正确公示担保权利的，其法律后果由当事人自行承担。办理登记时，存在提供虚假材料等行为给他人造成损害的，应当承担相应的法律责任。</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第二十五条　任何法人、非法人组织和自然人均可以在注册为统一登记系统的用户后，查询动产和权利担保登记信息。</w:t>
      </w:r>
    </w:p>
    <w:p w:rsidR="00CC71C2" w:rsidRPr="00CC71C2" w:rsidRDefault="00CC71C2" w:rsidP="00CC71C2">
      <w:pPr>
        <w:pStyle w:val="a3"/>
        <w:shd w:val="clear" w:color="auto" w:fill="FFFFFF"/>
        <w:spacing w:before="0" w:beforeAutospacing="0" w:after="0" w:afterAutospacing="0"/>
        <w:rPr>
          <w:rFonts w:ascii="Calibri" w:hAnsi="Calibri" w:cs="Calibri"/>
          <w:color w:val="0000FF"/>
          <w:sz w:val="21"/>
          <w:szCs w:val="21"/>
        </w:rPr>
      </w:pPr>
      <w:r>
        <w:rPr>
          <w:rFonts w:ascii="仿宋" w:eastAsia="仿宋" w:hAnsi="仿宋" w:cs="Calibri" w:hint="eastAsia"/>
          <w:color w:val="000000"/>
          <w:sz w:val="32"/>
          <w:szCs w:val="32"/>
        </w:rPr>
        <w:lastRenderedPageBreak/>
        <w:t xml:space="preserve">　　第二十六条　</w:t>
      </w:r>
      <w:r w:rsidRPr="00CC71C2">
        <w:rPr>
          <w:rFonts w:ascii="仿宋" w:eastAsia="仿宋" w:hAnsi="仿宋" w:cs="Calibri" w:hint="eastAsia"/>
          <w:color w:val="0000FF"/>
          <w:sz w:val="32"/>
          <w:szCs w:val="32"/>
        </w:rPr>
        <w:t>担保人为法人、非法人组织的，查询人以担保人的法定注册名称进行查询。</w:t>
      </w:r>
    </w:p>
    <w:p w:rsidR="00CC71C2" w:rsidRPr="00CC71C2" w:rsidRDefault="00CC71C2" w:rsidP="00CC71C2">
      <w:pPr>
        <w:pStyle w:val="a3"/>
        <w:shd w:val="clear" w:color="auto" w:fill="FFFFFF"/>
        <w:spacing w:before="0" w:beforeAutospacing="0" w:after="0" w:afterAutospacing="0"/>
        <w:rPr>
          <w:rFonts w:ascii="Calibri" w:hAnsi="Calibri" w:cs="Calibri"/>
          <w:color w:val="0000FF"/>
          <w:sz w:val="21"/>
          <w:szCs w:val="21"/>
        </w:rPr>
      </w:pPr>
      <w:r w:rsidRPr="00CC71C2">
        <w:rPr>
          <w:rFonts w:ascii="仿宋" w:eastAsia="仿宋" w:hAnsi="仿宋" w:cs="Calibri" w:hint="eastAsia"/>
          <w:color w:val="0000FF"/>
          <w:sz w:val="32"/>
          <w:szCs w:val="32"/>
        </w:rPr>
        <w:t xml:space="preserve">　　担保人为自然人的，查询人以担保人的身份证件号码进行查询。</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第二十七条　征信中心根据查询人的申请，提供查询证明。</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第二十八条　担保权人、担保人或其他利害关系人、查询人可以通过证明编号在统一登记系统对登记证明和查询证明进行验证。</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ascii="仿宋" w:eastAsia="仿宋" w:hAnsi="仿宋" w:cs="Calibri" w:hint="eastAsia"/>
          <w:color w:val="000000"/>
          <w:sz w:val="32"/>
          <w:szCs w:val="32"/>
        </w:rPr>
        <w:t xml:space="preserve">　　</w:t>
      </w:r>
      <w:r>
        <w:rPr>
          <w:rFonts w:ascii="黑体" w:eastAsia="黑体" w:hAnsi="黑体" w:cs="Calibri" w:hint="eastAsia"/>
          <w:color w:val="000000"/>
          <w:sz w:val="32"/>
          <w:szCs w:val="32"/>
        </w:rPr>
        <w:t>第三章　征信中心的职责</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第二十九条　征信中心应当建立登记信息内部控制制度，采取技术措施和其他必要措施，做好统一登记系统建设和维护工作，保障系统安全、稳定运行，建立高效运转的服务体系，不断提高服务效率和质量，防止登记信息泄露、丢失，保护当事人合法权益。</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第三十条　征信中心应当制定登记操作规则和内部管理制度，并报中国人民银行备案。</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第三十一条　登记注销、登记期限届满或登记撤销后，征信中心应当对登记记录进行电子化离线保存，保存期限为15年。</w:t>
      </w:r>
    </w:p>
    <w:p w:rsidR="00CC71C2" w:rsidRDefault="00CC71C2" w:rsidP="00CC71C2">
      <w:pPr>
        <w:pStyle w:val="a3"/>
        <w:shd w:val="clear" w:color="auto" w:fill="FFFFFF"/>
        <w:spacing w:before="0" w:beforeAutospacing="0" w:after="0" w:afterAutospacing="0"/>
        <w:jc w:val="center"/>
        <w:rPr>
          <w:rFonts w:ascii="Calibri" w:hAnsi="Calibri" w:cs="Calibri"/>
          <w:sz w:val="21"/>
          <w:szCs w:val="21"/>
        </w:rPr>
      </w:pPr>
      <w:r>
        <w:rPr>
          <w:rFonts w:ascii="仿宋" w:eastAsia="仿宋" w:hAnsi="仿宋" w:cs="Calibri" w:hint="eastAsia"/>
          <w:color w:val="000000"/>
          <w:sz w:val="32"/>
          <w:szCs w:val="32"/>
        </w:rPr>
        <w:t xml:space="preserve">　　</w:t>
      </w:r>
      <w:r>
        <w:rPr>
          <w:rFonts w:ascii="黑体" w:eastAsia="黑体" w:hAnsi="黑体" w:cs="Calibri" w:hint="eastAsia"/>
          <w:color w:val="000000"/>
          <w:sz w:val="32"/>
          <w:szCs w:val="32"/>
        </w:rPr>
        <w:t>第四章　附</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cs="Calibri" w:hint="eastAsia"/>
          <w:color w:val="000000"/>
          <w:sz w:val="32"/>
          <w:szCs w:val="32"/>
        </w:rPr>
        <w:t>则</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lastRenderedPageBreak/>
        <w:t xml:space="preserve">　　第三十二条　征信中心按照国务院价格主管部门批准的收费标准收取登记服务费用。</w:t>
      </w:r>
    </w:p>
    <w:p w:rsid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第三十三条　本办法由中国人民银行负责解释。</w:t>
      </w:r>
    </w:p>
    <w:p w:rsidR="00C1672C" w:rsidRPr="00CC71C2" w:rsidRDefault="00CC71C2" w:rsidP="00CC71C2">
      <w:pPr>
        <w:pStyle w:val="a3"/>
        <w:shd w:val="clear" w:color="auto" w:fill="FFFFFF"/>
        <w:spacing w:before="0" w:beforeAutospacing="0" w:after="0" w:afterAutospacing="0"/>
        <w:rPr>
          <w:rFonts w:ascii="Calibri" w:hAnsi="Calibri" w:cs="Calibri"/>
          <w:sz w:val="21"/>
          <w:szCs w:val="21"/>
        </w:rPr>
      </w:pPr>
      <w:r>
        <w:rPr>
          <w:rFonts w:ascii="仿宋" w:eastAsia="仿宋" w:hAnsi="仿宋" w:cs="Calibri" w:hint="eastAsia"/>
          <w:color w:val="000000"/>
          <w:sz w:val="32"/>
          <w:szCs w:val="32"/>
        </w:rPr>
        <w:t xml:space="preserve">　　第三十四条　本办法自2022年2月1日起施行。《应收账款质押登记办法》（中国人民银行令〔2019〕第4号发布）同时废止。</w:t>
      </w:r>
    </w:p>
    <w:sectPr w:rsidR="00C1672C" w:rsidRPr="00CC71C2" w:rsidSect="00143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62A" w:rsidRDefault="0013662A" w:rsidP="00936717">
      <w:r>
        <w:separator/>
      </w:r>
    </w:p>
  </w:endnote>
  <w:endnote w:type="continuationSeparator" w:id="1">
    <w:p w:rsidR="0013662A" w:rsidRDefault="0013662A" w:rsidP="00936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62A" w:rsidRDefault="0013662A" w:rsidP="00936717">
      <w:r>
        <w:separator/>
      </w:r>
    </w:p>
  </w:footnote>
  <w:footnote w:type="continuationSeparator" w:id="1">
    <w:p w:rsidR="0013662A" w:rsidRDefault="0013662A" w:rsidP="00936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72C"/>
    <w:rsid w:val="0013662A"/>
    <w:rsid w:val="0014317F"/>
    <w:rsid w:val="005E41F6"/>
    <w:rsid w:val="0060200D"/>
    <w:rsid w:val="00936717"/>
    <w:rsid w:val="00B87BCE"/>
    <w:rsid w:val="00C1672C"/>
    <w:rsid w:val="00CC7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1C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6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6717"/>
    <w:rPr>
      <w:sz w:val="18"/>
      <w:szCs w:val="18"/>
    </w:rPr>
  </w:style>
  <w:style w:type="paragraph" w:styleId="a5">
    <w:name w:val="footer"/>
    <w:basedOn w:val="a"/>
    <w:link w:val="Char0"/>
    <w:uiPriority w:val="99"/>
    <w:semiHidden/>
    <w:unhideWhenUsed/>
    <w:rsid w:val="009367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6717"/>
    <w:rPr>
      <w:sz w:val="18"/>
      <w:szCs w:val="18"/>
    </w:rPr>
  </w:style>
</w:styles>
</file>

<file path=word/webSettings.xml><?xml version="1.0" encoding="utf-8"?>
<w:webSettings xmlns:r="http://schemas.openxmlformats.org/officeDocument/2006/relationships" xmlns:w="http://schemas.openxmlformats.org/wordprocessingml/2006/main">
  <w:divs>
    <w:div w:id="934748234">
      <w:bodyDiv w:val="1"/>
      <w:marLeft w:val="0"/>
      <w:marRight w:val="0"/>
      <w:marTop w:val="0"/>
      <w:marBottom w:val="0"/>
      <w:divBdr>
        <w:top w:val="single" w:sz="12" w:space="0" w:color="B8001F"/>
        <w:left w:val="none" w:sz="0" w:space="0" w:color="auto"/>
        <w:bottom w:val="none" w:sz="0" w:space="0" w:color="auto"/>
        <w:right w:val="none" w:sz="0" w:space="0" w:color="auto"/>
      </w:divBdr>
      <w:divsChild>
        <w:div w:id="1489056996">
          <w:marLeft w:val="0"/>
          <w:marRight w:val="0"/>
          <w:marTop w:val="0"/>
          <w:marBottom w:val="0"/>
          <w:divBdr>
            <w:top w:val="none" w:sz="0" w:space="0" w:color="auto"/>
            <w:left w:val="none" w:sz="0" w:space="0" w:color="auto"/>
            <w:bottom w:val="none" w:sz="0" w:space="0" w:color="auto"/>
            <w:right w:val="none" w:sz="0" w:space="0" w:color="auto"/>
          </w:divBdr>
          <w:divsChild>
            <w:div w:id="1771197288">
              <w:marLeft w:val="111"/>
              <w:marRight w:val="111"/>
              <w:marTop w:val="55"/>
              <w:marBottom w:val="0"/>
              <w:divBdr>
                <w:top w:val="none" w:sz="0" w:space="0" w:color="auto"/>
                <w:left w:val="none" w:sz="0" w:space="0" w:color="auto"/>
                <w:bottom w:val="none" w:sz="0" w:space="0" w:color="auto"/>
                <w:right w:val="none" w:sz="0" w:space="0" w:color="auto"/>
              </w:divBdr>
              <w:divsChild>
                <w:div w:id="1006247891">
                  <w:marLeft w:val="0"/>
                  <w:marRight w:val="0"/>
                  <w:marTop w:val="0"/>
                  <w:marBottom w:val="0"/>
                  <w:divBdr>
                    <w:top w:val="none" w:sz="0" w:space="0" w:color="auto"/>
                    <w:left w:val="none" w:sz="0" w:space="0" w:color="auto"/>
                    <w:bottom w:val="none" w:sz="0" w:space="0" w:color="auto"/>
                    <w:right w:val="none" w:sz="0" w:space="0" w:color="auto"/>
                  </w:divBdr>
                  <w:divsChild>
                    <w:div w:id="155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518</Words>
  <Characters>2953</Characters>
  <Application>Microsoft Office Word</Application>
  <DocSecurity>0</DocSecurity>
  <Lines>24</Lines>
  <Paragraphs>6</Paragraphs>
  <ScaleCrop>false</ScaleCrop>
  <Company>Microsoft</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2022-11-19T08:01:00Z</dcterms:created>
  <dcterms:modified xsi:type="dcterms:W3CDTF">2022-11-19T08:24:00Z</dcterms:modified>
</cp:coreProperties>
</file>