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ascii="黑体" w:hAnsi="黑体" w:eastAsia="黑体" w:cs="黑体"/>
          <w:color w:val="333333"/>
          <w:kern w:val="0"/>
          <w:sz w:val="36"/>
          <w:szCs w:val="36"/>
        </w:rPr>
      </w:pPr>
      <w:r>
        <w:rPr>
          <w:rFonts w:hint="eastAsia" w:ascii="黑体" w:hAnsi="黑体" w:eastAsia="黑体" w:cs="黑体"/>
          <w:color w:val="333333"/>
          <w:kern w:val="0"/>
          <w:sz w:val="36"/>
          <w:szCs w:val="36"/>
        </w:rPr>
        <w:t>会计师事务所从事证券服务业务备案管理办法</w:t>
      </w:r>
    </w:p>
    <w:p>
      <w:pPr>
        <w:rPr>
          <w:rFonts w:ascii="黑体" w:hAnsi="黑体" w:eastAsia="黑体" w:cs="黑体"/>
          <w:b/>
          <w:bCs/>
          <w:sz w:val="36"/>
          <w:szCs w:val="36"/>
        </w:rPr>
      </w:pPr>
    </w:p>
    <w:p>
      <w:pPr>
        <w:jc w:val="center"/>
        <w:rPr>
          <w:rFonts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为加强对中华人民共和国境内依法设立的会计师事务所从事证券服务业务活动的监督管理，规范会计师</w:t>
      </w:r>
      <w:bookmarkStart w:id="0" w:name="_GoBack"/>
      <w:bookmarkEnd w:id="0"/>
      <w:r>
        <w:rPr>
          <w:rFonts w:hint="eastAsia" w:ascii="仿宋_GB2312" w:hAnsi="仿宋_GB2312" w:eastAsia="仿宋_GB2312" w:cs="仿宋_GB2312"/>
          <w:sz w:val="32"/>
          <w:szCs w:val="32"/>
        </w:rPr>
        <w:t>事务所从事证券服务业务备案行为，推动形成市场化筛选及科学管理格局，根据《中华人民共和国注册会计师法》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《中华人民共和国证券法》等，制定本办法。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会计师事务所从事证券服务业务，应当遵守《会计师事务所执业许可和监督管理办法》有关规定。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会计师事务所从事证券服务业务备案应当贯彻落实国务院“放管服”改革要求，根据《国务院关于加快推进“互联网+政务服务”工作的指导意见》，优化办事服务，加强信息共享，会计师事务所无需重复填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会计师事务所从事下列证券服务业务，应当按照本办法进行备案：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（一）为证券的发行、上市、挂牌、交易等证券业务活动制作、出具财务报表审计报告、内部控制审计报告、内部控制鉴证报告、验资报告、盈利预测审核报告。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（二）为证券公司及其资产管理产品制作、出具财务报表审计报告、内部控制审计报告、内部控制鉴证报告、验资报告、盈利预测审核报告。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（三）财政部、证监会规定的其他业务。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会计师事务所参与前款第（一）项相关主体重要组成部分或其控制的主体的审计，其审计对象的资产总额、营业收入中的一项达到前款第（一）项相关主体最近一期经审计合并财务报表对应项目金额百分之十五的，视同从事证券服务业务。</w:t>
      </w:r>
    </w:p>
    <w:p>
      <w:pPr>
        <w:ind w:firstLine="640" w:firstLineChars="200"/>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备案材料和备案方式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会计师事务所从事证券服务业务备案按业务环节分为首次从事证券服务业务备案、重大事项备案、年度备案。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会计师事务所从事证券服务业务，应当向财政部、证监会备案，并保证备案材料和信息真实、准确、完整、及时。</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财政部、证监会建立信息共享工作机制，切实加强数据信息的共享和运用。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会计师事务所首次从事证券服务业务，应当在签订业务约定书之日（不含）起10个工作日内，报送下列材料：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（一）会计师事务所首次从事证券服务业务备案表（附表1）；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（二）从事证券服务业务质量控制制度等内部管理制度及执行情况说明；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（三）会计师事务所营业执照及执业许可证书信息；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（四）截至备案上月末注册会计师及合伙人情况表（附表2）；</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（五）会计师事务所及其执业人员因执业行为涉嫌违法违规被立案调查，或者被司法机关侦查，以及近三年因执业行为受到刑事处罚、行政处罚、监督管理措施、自律监管措施、纪律处分的情况（附表3）；</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上一年度财务报表审计报告</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（七）职业责任保险保单信息（如有）；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（八）财政部、证监会规定的其他材料。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会计师事务所首次从事证券服务业务的实际时间早于签订业务约定书时间的，应当在实际从事证券服务业务之日起 10 个工作日内备案。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在2020年3月1日前取得从事证券、期货相关业务资格的会计师事务所，拟继续从事证券服务业务的，应当在本办法施行之日（不含）起10个工作日内进行备案。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会计师事务所从事证券服务业务，发生下列重大事项的，应当进行备案：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（一）名称变更；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（二）首席合伙人变更；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（三）合伙人变更；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（四）经营场所变更；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（五）组织形式变更；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（六）设立或撤销分所；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（七）质量控制主管合伙人变更；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（八）与证券服务业务有关的质量控制制度等内部管理制度发生重大变更；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（九）会计师事务所及其执业人员因执业行为涉嫌违法违规被立案调查，或者被司法机关侦查，以及因执业行为受到刑事处罚、行政处罚、监督管理措施、自律监管措施、纪律处分;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（十）会计师事务所及其执业人员因执业行为与委托人、投资者发生民事纠纷，进行诉讼或仲裁；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（十一）财政部、证监会规定的其他重大事项。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计师事务所发生前款第（一）项至（六）项重大事项的，应当按照规定在财政部门履行相关变更程序后10个工作日内进行证券服务业务重大事项备案；发生其他重大事项的，应当在该事项发生之日起10个工作日内进行证券服务业务重大事项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会计师事务所从事证券服务业务，应当在每年4月30日前提交年度备案表（附表4）。</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年度备案内容包括会计师事务所基本情况和经营情况、执业人员变动情况、从事证券服务业务质量控制制度等内部管理制度执行情况和变动情况，以及财政部、证监会规定的其他事项。</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会计师事务所连续一个自然年度未从事证券服务业务的，可以不按照本规定第九条和本条的规定进行重大事项备案和年度备案。未进行重大事项备案和年度备案的会计师事务所，再次从事证券服务业务的，需要按照本规定第七条的规定提交材料。</w:t>
      </w:r>
    </w:p>
    <w:p>
      <w:pPr>
        <w:numPr>
          <w:ilvl w:val="255"/>
          <w:numId w:val="0"/>
        </w:num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备案核验和公告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财政部、证监会发现首次从事证券服务业务的备案材料不完备或者不符合规定的，应当自收到材料之日（不含）起</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个工作日内一次性告知会计师事务所补正备案材料，会计师事务所应当在10个工作日内补正。逾期未补正的，视同未提交备案材料。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会计师事务所提供的备案材料完备且符合规定的，自收齐备案材料之日（不含）起</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个工作日内，财政部、证监会沟通一致后分别通过网站等方式，同时公告备案会计师事务所名单及相关基本信息。</w:t>
      </w:r>
    </w:p>
    <w:p>
      <w:pPr>
        <w:ind w:firstLine="640" w:firstLineChars="200"/>
        <w:rPr>
          <w:rFonts w:ascii="仿宋_GB2312" w:hAnsi="仿宋_GB2312" w:eastAsia="仿宋_GB2312" w:cs="仿宋_GB2312"/>
          <w:color w:val="0000FF"/>
          <w:sz w:val="24"/>
          <w:szCs w:val="24"/>
        </w:rPr>
      </w:pPr>
      <w:r>
        <w:rPr>
          <w:rFonts w:hint="eastAsia" w:ascii="仿宋_GB2312" w:hAnsi="仿宋_GB2312" w:eastAsia="仿宋_GB2312" w:cs="仿宋_GB2312"/>
          <w:kern w:val="0"/>
          <w:sz w:val="32"/>
          <w:szCs w:val="32"/>
        </w:rPr>
        <w:t>为会计师事务所从事证券服务业务备案，不代表对其从事证券服务业务执业能力的认可。</w:t>
      </w:r>
      <w:r>
        <w:rPr>
          <w:rFonts w:hint="eastAsia" w:ascii="仿宋_GB2312" w:hAnsi="仿宋_GB2312" w:eastAsia="仿宋_GB2312" w:cs="仿宋_GB2312"/>
          <w:vanish w:val="0"/>
          <w:color w:val="0000FF"/>
          <w:sz w:val="24"/>
          <w:szCs w:val="24"/>
          <w:u w:val="none"/>
        </w:rPr>
        <w:t>申请材料不齐全或者不符合法定形式的，应当当场或者在五日内一次告知申请人需要补正的全部内容，逾期不告知的，自收到申请材料之日起即为受理申请材料不齐全或者不符合法定形式的，应当当场或者在五日内一次告知申请人需要补正的全部内容，逾期不告知的，自收到申请材料之日起即为受理申请材料不齐全或者不符合法定形式的，应当当场或者在五日内一次告知申请人需要补正的全部内容，逾期不告知的，自收到申请材料之日起即为受理申请材料不齐全或者不符合法定形式的，应当当场或者在五日内一次告知申请人需要补正的全部内容，逾期不告知的，自收到申请材料之日起即为受理</w:t>
      </w:r>
    </w:p>
    <w:p>
      <w:pPr>
        <w:widowControl/>
        <w:shd w:val="clear" w:color="FFFFFF" w:fill="FFFFFF"/>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会计师事务所应当在每年5月31日前按财政部、证监会规定的格式公开上一年度基本情况、诚信记录、执业情况等相关信息。</w:t>
      </w:r>
    </w:p>
    <w:p>
      <w:pPr>
        <w:widowControl/>
        <w:shd w:val="clear" w:color="FFFFFF" w:fill="FFFFFF"/>
        <w:spacing w:line="480" w:lineRule="auto"/>
        <w:ind w:firstLine="640" w:firstLineChars="200"/>
        <w:jc w:val="left"/>
        <w:rPr>
          <w:rFonts w:ascii="仿宋_GB2312" w:hAnsi="仿宋_GB2312" w:eastAsia="仿宋_GB2312" w:cs="仿宋_GB2312"/>
          <w:sz w:val="32"/>
          <w:szCs w:val="32"/>
        </w:rPr>
      </w:pPr>
    </w:p>
    <w:p>
      <w:pPr>
        <w:widowControl/>
        <w:shd w:val="clear" w:color="FFFFFF" w:fill="FFFFFF"/>
        <w:spacing w:line="480" w:lineRule="auto"/>
        <w:ind w:firstLine="640" w:firstLineChars="200"/>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widowControl/>
        <w:shd w:val="clear" w:color="FFFFFF" w:fill="FFFFFF"/>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会计师事务所未按照本办法规定备案的，依法承担法律责任。</w:t>
      </w:r>
    </w:p>
    <w:p>
      <w:pPr>
        <w:widowControl/>
        <w:shd w:val="clear" w:color="FFFFFF" w:fill="FFFFFF"/>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财政部、证监会及其工作人员在会计师事务所从事证券服务业务备案相关工作中，存在违反本办法规定的行为，以及其他滥用职权、玩忽职守、徇私舞弊等违纪违法行为的，按照《中华人民共和国公务员法》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《中华人民共和国监察法》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《中华人民共和国证券法》等国家有关规定追究相应责任。构成犯罪的，依法追究刑事责任。</w:t>
      </w:r>
    </w:p>
    <w:p>
      <w:pPr>
        <w:ind w:firstLine="640" w:firstLineChars="200"/>
        <w:jc w:val="left"/>
        <w:rPr>
          <w:rFonts w:ascii="黑体" w:hAnsi="黑体" w:eastAsia="黑体" w:cs="黑体"/>
          <w:sz w:val="32"/>
          <w:szCs w:val="32"/>
        </w:rPr>
      </w:pPr>
    </w:p>
    <w:p>
      <w:pPr>
        <w:ind w:firstLine="640" w:firstLineChars="200"/>
        <w:jc w:val="center"/>
        <w:rPr>
          <w:rFonts w:ascii="黑体" w:hAnsi="黑体" w:eastAsia="黑体" w:cs="黑体"/>
          <w:sz w:val="32"/>
          <w:szCs w:val="32"/>
        </w:rPr>
      </w:pPr>
      <w:r>
        <w:rPr>
          <w:rFonts w:hint="eastAsia" w:ascii="黑体" w:hAnsi="黑体" w:eastAsia="黑体" w:cs="黑体"/>
          <w:sz w:val="32"/>
          <w:szCs w:val="32"/>
        </w:rPr>
        <w:t>第五章 附则</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本办法自2020年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日起施行。《财政部 证监会关于会计师事务所从事证券期货相关业务有关问题的通知》（财会〔2007〕6号）和《财政部 证监会关于调整证券资格会计师事务所申请条件的通知》（财会〔2012〕2号）同时废止。</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会计师事务所为基金期货经营机构及其发行的产品等提供证券服务业务的，参照适用本办法。</w:t>
      </w:r>
    </w:p>
    <w:p>
      <w:pPr>
        <w:ind w:firstLine="640"/>
        <w:rPr>
          <w:rFonts w:hint="eastAsia"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附表：</w:t>
      </w:r>
    </w:p>
    <w:p>
      <w:pPr>
        <w:numPr>
          <w:ilvl w:val="255"/>
          <w:numId w:val="0"/>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1.会计师事务所首次从事证券服务业务备案表</w:t>
      </w:r>
    </w:p>
    <w:p>
      <w:pPr>
        <w:numPr>
          <w:ilvl w:val="255"/>
          <w:numId w:val="0"/>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2.注册会计师及合伙人情况表</w:t>
      </w:r>
    </w:p>
    <w:p>
      <w:pPr>
        <w:numPr>
          <w:ilvl w:val="255"/>
          <w:numId w:val="0"/>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sz w:val="32"/>
          <w:szCs w:val="32"/>
        </w:rPr>
        <w:t>会计师事务所及其执业人员执业行为处罚处理情况表</w:t>
      </w:r>
    </w:p>
    <w:p>
      <w:pPr>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4.会计师事务所从事证券服务业务年度备案表</w:t>
      </w:r>
    </w:p>
    <w:sectPr>
      <w:footerReference r:id="rId3" w:type="default"/>
      <w:pgSz w:w="11906" w:h="16838"/>
      <w:pgMar w:top="1287" w:right="1486" w:bottom="72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W7l30AAAAAIBAAAPAAAA&#10;AAAAAAEAIAAAACIAAABkcnMvZG93bnJldi54bWxQSwECFAAUAAAACACHTuJARCK6+eQBAADDAwAA&#10;DgAAAAAAAAABACAAAAAfAQAAZHJzL2Uyb0RvYy54bWxQSwUGAAAAAAYABgBZAQAAd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93"/>
    <w:rsid w:val="00007531"/>
    <w:rsid w:val="000349EA"/>
    <w:rsid w:val="0003552F"/>
    <w:rsid w:val="0003751E"/>
    <w:rsid w:val="00040F11"/>
    <w:rsid w:val="00044C3F"/>
    <w:rsid w:val="0004719A"/>
    <w:rsid w:val="00047A8B"/>
    <w:rsid w:val="00063B1B"/>
    <w:rsid w:val="00067079"/>
    <w:rsid w:val="00072400"/>
    <w:rsid w:val="000A5D27"/>
    <w:rsid w:val="000B0BD4"/>
    <w:rsid w:val="000B6DEA"/>
    <w:rsid w:val="000D7640"/>
    <w:rsid w:val="000E39CC"/>
    <w:rsid w:val="000F0869"/>
    <w:rsid w:val="000F567B"/>
    <w:rsid w:val="00162A11"/>
    <w:rsid w:val="00165B90"/>
    <w:rsid w:val="001738B5"/>
    <w:rsid w:val="00182C2F"/>
    <w:rsid w:val="0019798E"/>
    <w:rsid w:val="001A3248"/>
    <w:rsid w:val="001C2292"/>
    <w:rsid w:val="001C6B5D"/>
    <w:rsid w:val="001E3F7B"/>
    <w:rsid w:val="001E4991"/>
    <w:rsid w:val="001E5090"/>
    <w:rsid w:val="00206404"/>
    <w:rsid w:val="00217A23"/>
    <w:rsid w:val="00222D61"/>
    <w:rsid w:val="0022402C"/>
    <w:rsid w:val="002441DD"/>
    <w:rsid w:val="0027067A"/>
    <w:rsid w:val="002858D0"/>
    <w:rsid w:val="00285D5A"/>
    <w:rsid w:val="002923E9"/>
    <w:rsid w:val="002D1EB0"/>
    <w:rsid w:val="002F5EF7"/>
    <w:rsid w:val="0032433F"/>
    <w:rsid w:val="0032621B"/>
    <w:rsid w:val="00326B6D"/>
    <w:rsid w:val="00355449"/>
    <w:rsid w:val="00357E0B"/>
    <w:rsid w:val="00363499"/>
    <w:rsid w:val="00372C82"/>
    <w:rsid w:val="00377C3A"/>
    <w:rsid w:val="00383849"/>
    <w:rsid w:val="003847C5"/>
    <w:rsid w:val="003A16DB"/>
    <w:rsid w:val="003A198D"/>
    <w:rsid w:val="003B070E"/>
    <w:rsid w:val="003B1FC6"/>
    <w:rsid w:val="003B5ABD"/>
    <w:rsid w:val="003C55BA"/>
    <w:rsid w:val="003D2073"/>
    <w:rsid w:val="003E06DB"/>
    <w:rsid w:val="003E3AAA"/>
    <w:rsid w:val="00402830"/>
    <w:rsid w:val="00403B15"/>
    <w:rsid w:val="004137E3"/>
    <w:rsid w:val="004552FA"/>
    <w:rsid w:val="00456351"/>
    <w:rsid w:val="004716F3"/>
    <w:rsid w:val="004A2C7E"/>
    <w:rsid w:val="004A5B37"/>
    <w:rsid w:val="004C4859"/>
    <w:rsid w:val="004E5C81"/>
    <w:rsid w:val="004F01EC"/>
    <w:rsid w:val="004F145D"/>
    <w:rsid w:val="004F532E"/>
    <w:rsid w:val="00514118"/>
    <w:rsid w:val="005150F7"/>
    <w:rsid w:val="005250E0"/>
    <w:rsid w:val="005314F2"/>
    <w:rsid w:val="00540572"/>
    <w:rsid w:val="00547372"/>
    <w:rsid w:val="00551BF2"/>
    <w:rsid w:val="00570854"/>
    <w:rsid w:val="0058120C"/>
    <w:rsid w:val="005951D4"/>
    <w:rsid w:val="005A00BB"/>
    <w:rsid w:val="005A7BF3"/>
    <w:rsid w:val="005C2A1D"/>
    <w:rsid w:val="005D50CF"/>
    <w:rsid w:val="005F0421"/>
    <w:rsid w:val="0060237D"/>
    <w:rsid w:val="00602699"/>
    <w:rsid w:val="00605A41"/>
    <w:rsid w:val="00612D29"/>
    <w:rsid w:val="0061471C"/>
    <w:rsid w:val="006309CB"/>
    <w:rsid w:val="00644805"/>
    <w:rsid w:val="0067066A"/>
    <w:rsid w:val="00672ED5"/>
    <w:rsid w:val="006824FB"/>
    <w:rsid w:val="0068617B"/>
    <w:rsid w:val="006A1DF7"/>
    <w:rsid w:val="006A6BEA"/>
    <w:rsid w:val="006C00AA"/>
    <w:rsid w:val="006C5A9F"/>
    <w:rsid w:val="006D6E33"/>
    <w:rsid w:val="006F7961"/>
    <w:rsid w:val="007015F7"/>
    <w:rsid w:val="007069DA"/>
    <w:rsid w:val="00740DFD"/>
    <w:rsid w:val="007419D2"/>
    <w:rsid w:val="007424F5"/>
    <w:rsid w:val="007461F0"/>
    <w:rsid w:val="007A68B5"/>
    <w:rsid w:val="007A7752"/>
    <w:rsid w:val="007C0ED1"/>
    <w:rsid w:val="007C32A9"/>
    <w:rsid w:val="007D1D38"/>
    <w:rsid w:val="007D1D88"/>
    <w:rsid w:val="007D60A6"/>
    <w:rsid w:val="007E2CA1"/>
    <w:rsid w:val="007E74BD"/>
    <w:rsid w:val="007F6AD5"/>
    <w:rsid w:val="008152D5"/>
    <w:rsid w:val="00850164"/>
    <w:rsid w:val="008520AF"/>
    <w:rsid w:val="00857A99"/>
    <w:rsid w:val="00863DFB"/>
    <w:rsid w:val="0086621E"/>
    <w:rsid w:val="00875DCB"/>
    <w:rsid w:val="00880B47"/>
    <w:rsid w:val="008B38A0"/>
    <w:rsid w:val="008B4987"/>
    <w:rsid w:val="008B7095"/>
    <w:rsid w:val="008C4EDB"/>
    <w:rsid w:val="008D2BA2"/>
    <w:rsid w:val="008E11FB"/>
    <w:rsid w:val="008F567D"/>
    <w:rsid w:val="00904602"/>
    <w:rsid w:val="0091231B"/>
    <w:rsid w:val="00917929"/>
    <w:rsid w:val="009346EE"/>
    <w:rsid w:val="00935A16"/>
    <w:rsid w:val="0094212F"/>
    <w:rsid w:val="00963FE0"/>
    <w:rsid w:val="00964BF9"/>
    <w:rsid w:val="00973328"/>
    <w:rsid w:val="00975272"/>
    <w:rsid w:val="00986593"/>
    <w:rsid w:val="00991342"/>
    <w:rsid w:val="0099202B"/>
    <w:rsid w:val="00993AB0"/>
    <w:rsid w:val="009A18A2"/>
    <w:rsid w:val="009A305B"/>
    <w:rsid w:val="009C113B"/>
    <w:rsid w:val="009D1FB9"/>
    <w:rsid w:val="009F6819"/>
    <w:rsid w:val="00A13433"/>
    <w:rsid w:val="00A13D79"/>
    <w:rsid w:val="00A23209"/>
    <w:rsid w:val="00A400D0"/>
    <w:rsid w:val="00A54181"/>
    <w:rsid w:val="00A66A6F"/>
    <w:rsid w:val="00AA083F"/>
    <w:rsid w:val="00AC0178"/>
    <w:rsid w:val="00AC187A"/>
    <w:rsid w:val="00AD5A46"/>
    <w:rsid w:val="00AE294D"/>
    <w:rsid w:val="00AE2A05"/>
    <w:rsid w:val="00AE56A1"/>
    <w:rsid w:val="00AF6015"/>
    <w:rsid w:val="00AF79DA"/>
    <w:rsid w:val="00B01C9C"/>
    <w:rsid w:val="00B104AB"/>
    <w:rsid w:val="00B10A18"/>
    <w:rsid w:val="00B17472"/>
    <w:rsid w:val="00B261D0"/>
    <w:rsid w:val="00B506B7"/>
    <w:rsid w:val="00B51E0C"/>
    <w:rsid w:val="00BC37C7"/>
    <w:rsid w:val="00BC6984"/>
    <w:rsid w:val="00BE7219"/>
    <w:rsid w:val="00BF20A3"/>
    <w:rsid w:val="00BF49D9"/>
    <w:rsid w:val="00BF5277"/>
    <w:rsid w:val="00C43EE7"/>
    <w:rsid w:val="00C6111B"/>
    <w:rsid w:val="00C8046D"/>
    <w:rsid w:val="00C87AB7"/>
    <w:rsid w:val="00C9007E"/>
    <w:rsid w:val="00C938A2"/>
    <w:rsid w:val="00C97595"/>
    <w:rsid w:val="00CB4109"/>
    <w:rsid w:val="00CC03A6"/>
    <w:rsid w:val="00CC41F3"/>
    <w:rsid w:val="00CF1DC5"/>
    <w:rsid w:val="00D03D1F"/>
    <w:rsid w:val="00D220E8"/>
    <w:rsid w:val="00D33490"/>
    <w:rsid w:val="00D35191"/>
    <w:rsid w:val="00D54E81"/>
    <w:rsid w:val="00D62D72"/>
    <w:rsid w:val="00D732A0"/>
    <w:rsid w:val="00D90DAE"/>
    <w:rsid w:val="00DA470B"/>
    <w:rsid w:val="00DA655A"/>
    <w:rsid w:val="00DB2B49"/>
    <w:rsid w:val="00DC5837"/>
    <w:rsid w:val="00DC738A"/>
    <w:rsid w:val="00DE57B0"/>
    <w:rsid w:val="00DF1CA0"/>
    <w:rsid w:val="00DF3581"/>
    <w:rsid w:val="00E0596F"/>
    <w:rsid w:val="00E31A63"/>
    <w:rsid w:val="00E66D80"/>
    <w:rsid w:val="00E70256"/>
    <w:rsid w:val="00E8026A"/>
    <w:rsid w:val="00EC299A"/>
    <w:rsid w:val="00EC6289"/>
    <w:rsid w:val="00F00FBC"/>
    <w:rsid w:val="00F8303F"/>
    <w:rsid w:val="00FA1F70"/>
    <w:rsid w:val="00FA6CB3"/>
    <w:rsid w:val="00FE05B7"/>
    <w:rsid w:val="00FE64F5"/>
    <w:rsid w:val="00FF01BF"/>
    <w:rsid w:val="00FF0BE3"/>
    <w:rsid w:val="00FF2C62"/>
    <w:rsid w:val="00FF503A"/>
    <w:rsid w:val="02121995"/>
    <w:rsid w:val="030366BF"/>
    <w:rsid w:val="03673EF0"/>
    <w:rsid w:val="05A305EA"/>
    <w:rsid w:val="07EF1FE0"/>
    <w:rsid w:val="08226324"/>
    <w:rsid w:val="08A5595C"/>
    <w:rsid w:val="0A9A1363"/>
    <w:rsid w:val="0B4E2827"/>
    <w:rsid w:val="0B6B2FA6"/>
    <w:rsid w:val="0BCD16E5"/>
    <w:rsid w:val="0C820073"/>
    <w:rsid w:val="0D8D14C3"/>
    <w:rsid w:val="0E4F6AB8"/>
    <w:rsid w:val="0F17351B"/>
    <w:rsid w:val="105F58AB"/>
    <w:rsid w:val="10A43F0E"/>
    <w:rsid w:val="10AD25BC"/>
    <w:rsid w:val="14265BDF"/>
    <w:rsid w:val="14BE2334"/>
    <w:rsid w:val="14C5114D"/>
    <w:rsid w:val="1950176C"/>
    <w:rsid w:val="1B40785E"/>
    <w:rsid w:val="1B7B66BB"/>
    <w:rsid w:val="1BD23F2C"/>
    <w:rsid w:val="1E070AA0"/>
    <w:rsid w:val="1ED47A4E"/>
    <w:rsid w:val="1EF70A88"/>
    <w:rsid w:val="2123102E"/>
    <w:rsid w:val="21303126"/>
    <w:rsid w:val="223B0D06"/>
    <w:rsid w:val="225E47A6"/>
    <w:rsid w:val="23FF475F"/>
    <w:rsid w:val="24225240"/>
    <w:rsid w:val="24D535FF"/>
    <w:rsid w:val="25535EDF"/>
    <w:rsid w:val="25ABF7EF"/>
    <w:rsid w:val="25D57B98"/>
    <w:rsid w:val="28D278E6"/>
    <w:rsid w:val="28F36A58"/>
    <w:rsid w:val="2B2FF77E"/>
    <w:rsid w:val="2C0D19A1"/>
    <w:rsid w:val="2E39083E"/>
    <w:rsid w:val="2E5F27AE"/>
    <w:rsid w:val="2FDB59BF"/>
    <w:rsid w:val="31B14825"/>
    <w:rsid w:val="323D0440"/>
    <w:rsid w:val="33D56329"/>
    <w:rsid w:val="33FC1D74"/>
    <w:rsid w:val="341B2A7E"/>
    <w:rsid w:val="351738B7"/>
    <w:rsid w:val="355150C2"/>
    <w:rsid w:val="374D3271"/>
    <w:rsid w:val="379C576C"/>
    <w:rsid w:val="37CB540C"/>
    <w:rsid w:val="37CF50CD"/>
    <w:rsid w:val="3ADE3E65"/>
    <w:rsid w:val="3B04569F"/>
    <w:rsid w:val="3B1D15AA"/>
    <w:rsid w:val="3B2F1B87"/>
    <w:rsid w:val="3BA64CFC"/>
    <w:rsid w:val="3CC42F83"/>
    <w:rsid w:val="3D7A1BE0"/>
    <w:rsid w:val="3D94945A"/>
    <w:rsid w:val="3DDB7F74"/>
    <w:rsid w:val="3EBFBAD4"/>
    <w:rsid w:val="3F1F3815"/>
    <w:rsid w:val="3FDE8840"/>
    <w:rsid w:val="3FEE00E3"/>
    <w:rsid w:val="3FFEA4CA"/>
    <w:rsid w:val="3FFEAE11"/>
    <w:rsid w:val="41077950"/>
    <w:rsid w:val="4166108A"/>
    <w:rsid w:val="45191836"/>
    <w:rsid w:val="455D7AC8"/>
    <w:rsid w:val="45E944DC"/>
    <w:rsid w:val="45EE3D6B"/>
    <w:rsid w:val="47F65BD1"/>
    <w:rsid w:val="485B4E19"/>
    <w:rsid w:val="497F8EED"/>
    <w:rsid w:val="49EF5974"/>
    <w:rsid w:val="4C96463B"/>
    <w:rsid w:val="4FFEAB45"/>
    <w:rsid w:val="50AD7627"/>
    <w:rsid w:val="513E4DEE"/>
    <w:rsid w:val="51CF256B"/>
    <w:rsid w:val="528FF39C"/>
    <w:rsid w:val="52E21E54"/>
    <w:rsid w:val="57FF69BA"/>
    <w:rsid w:val="58693658"/>
    <w:rsid w:val="595E5EB2"/>
    <w:rsid w:val="5A71467A"/>
    <w:rsid w:val="5A88645D"/>
    <w:rsid w:val="5AED5C2D"/>
    <w:rsid w:val="5C270B97"/>
    <w:rsid w:val="5DA70952"/>
    <w:rsid w:val="5F7FD580"/>
    <w:rsid w:val="5FAFDE8B"/>
    <w:rsid w:val="5FCFEA60"/>
    <w:rsid w:val="5FDD8D68"/>
    <w:rsid w:val="604D63BC"/>
    <w:rsid w:val="63862CD6"/>
    <w:rsid w:val="63F138FE"/>
    <w:rsid w:val="659A1A0D"/>
    <w:rsid w:val="669B87BD"/>
    <w:rsid w:val="66FFC78A"/>
    <w:rsid w:val="67225E57"/>
    <w:rsid w:val="675EA72C"/>
    <w:rsid w:val="6793A168"/>
    <w:rsid w:val="679C463C"/>
    <w:rsid w:val="67D71001"/>
    <w:rsid w:val="68106E3B"/>
    <w:rsid w:val="6A487B0D"/>
    <w:rsid w:val="6B2FAEE8"/>
    <w:rsid w:val="6B424499"/>
    <w:rsid w:val="6B8F2E19"/>
    <w:rsid w:val="6CB5230D"/>
    <w:rsid w:val="6EEF39FD"/>
    <w:rsid w:val="6F3903C8"/>
    <w:rsid w:val="6FFD5F15"/>
    <w:rsid w:val="6FFE11A7"/>
    <w:rsid w:val="6FFFE9EA"/>
    <w:rsid w:val="7055A271"/>
    <w:rsid w:val="71D1558B"/>
    <w:rsid w:val="73C50F63"/>
    <w:rsid w:val="75EB72D0"/>
    <w:rsid w:val="76907D38"/>
    <w:rsid w:val="777779B4"/>
    <w:rsid w:val="781C5EC6"/>
    <w:rsid w:val="79457F20"/>
    <w:rsid w:val="79E82E41"/>
    <w:rsid w:val="7BCD5F3D"/>
    <w:rsid w:val="7BD65ED7"/>
    <w:rsid w:val="7BFF6B13"/>
    <w:rsid w:val="7C39FC07"/>
    <w:rsid w:val="7C7927D7"/>
    <w:rsid w:val="7C7B7859"/>
    <w:rsid w:val="7CD52E27"/>
    <w:rsid w:val="7DD824D4"/>
    <w:rsid w:val="7DF7AAA8"/>
    <w:rsid w:val="7E94049A"/>
    <w:rsid w:val="7EF7F95C"/>
    <w:rsid w:val="7FB75435"/>
    <w:rsid w:val="7FBEB5C6"/>
    <w:rsid w:val="7FED3A77"/>
    <w:rsid w:val="7FEF8ABD"/>
    <w:rsid w:val="7FFF903B"/>
    <w:rsid w:val="8F7BE079"/>
    <w:rsid w:val="9CF82388"/>
    <w:rsid w:val="9EF7A3CC"/>
    <w:rsid w:val="9F66D3FA"/>
    <w:rsid w:val="9FD7D3CB"/>
    <w:rsid w:val="AFF591CA"/>
    <w:rsid w:val="B5FFF093"/>
    <w:rsid w:val="B72F5B77"/>
    <w:rsid w:val="BF72EE90"/>
    <w:rsid w:val="BFDDA55D"/>
    <w:rsid w:val="C7EDF5E9"/>
    <w:rsid w:val="C7FF454F"/>
    <w:rsid w:val="CDFFF9E3"/>
    <w:rsid w:val="CF2CAB6E"/>
    <w:rsid w:val="D7FF6E6B"/>
    <w:rsid w:val="DAFBD648"/>
    <w:rsid w:val="E3BED6C0"/>
    <w:rsid w:val="E5FF413E"/>
    <w:rsid w:val="E8DFE7F3"/>
    <w:rsid w:val="E8FB0D9F"/>
    <w:rsid w:val="E9FC6DDA"/>
    <w:rsid w:val="EBEB6B7F"/>
    <w:rsid w:val="EBFD0E67"/>
    <w:rsid w:val="ED7C4AC1"/>
    <w:rsid w:val="EE678DEA"/>
    <w:rsid w:val="EFF723D6"/>
    <w:rsid w:val="EFFC672A"/>
    <w:rsid w:val="EFFE969C"/>
    <w:rsid w:val="F3BF0941"/>
    <w:rsid w:val="F3FBEB09"/>
    <w:rsid w:val="F3FF98DE"/>
    <w:rsid w:val="F7DAABCA"/>
    <w:rsid w:val="F9FF55C5"/>
    <w:rsid w:val="FA8F4667"/>
    <w:rsid w:val="FB7F8F32"/>
    <w:rsid w:val="FBD70721"/>
    <w:rsid w:val="FBEF14DB"/>
    <w:rsid w:val="FCFF23E8"/>
    <w:rsid w:val="FD5576CB"/>
    <w:rsid w:val="FE6E52A8"/>
    <w:rsid w:val="FECB451E"/>
    <w:rsid w:val="FF37A222"/>
    <w:rsid w:val="FF3F43B1"/>
    <w:rsid w:val="FFBE16C4"/>
    <w:rsid w:val="FFDFC4EF"/>
    <w:rsid w:val="FFFFA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8">
    <w:name w:val="annotation subject"/>
    <w:basedOn w:val="3"/>
    <w:next w:val="3"/>
    <w:link w:val="18"/>
    <w:qFormat/>
    <w:uiPriority w:val="0"/>
    <w:rPr>
      <w:b/>
      <w:bCs/>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99"/>
    <w:rPr>
      <w:kern w:val="2"/>
      <w:sz w:val="18"/>
      <w:szCs w:val="18"/>
    </w:rPr>
  </w:style>
  <w:style w:type="character" w:customStyle="1" w:styleId="14">
    <w:name w:val="页脚 Char"/>
    <w:basedOn w:val="10"/>
    <w:link w:val="5"/>
    <w:qFormat/>
    <w:uiPriority w:val="99"/>
    <w:rPr>
      <w:kern w:val="2"/>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10"/>
    <w:link w:val="4"/>
    <w:qFormat/>
    <w:uiPriority w:val="0"/>
    <w:rPr>
      <w:rFonts w:ascii="Calibri" w:hAnsi="Calibri" w:eastAsia="宋体" w:cs="宋体"/>
      <w:kern w:val="2"/>
      <w:sz w:val="18"/>
      <w:szCs w:val="18"/>
    </w:rPr>
  </w:style>
  <w:style w:type="character" w:customStyle="1" w:styleId="17">
    <w:name w:val="批注文字 Char"/>
    <w:basedOn w:val="10"/>
    <w:link w:val="3"/>
    <w:qFormat/>
    <w:uiPriority w:val="0"/>
    <w:rPr>
      <w:rFonts w:ascii="Calibri" w:hAnsi="Calibri" w:eastAsia="宋体" w:cs="宋体"/>
      <w:kern w:val="2"/>
      <w:sz w:val="21"/>
      <w:szCs w:val="22"/>
    </w:rPr>
  </w:style>
  <w:style w:type="character" w:customStyle="1" w:styleId="18">
    <w:name w:val="批注主题 Char"/>
    <w:basedOn w:val="17"/>
    <w:link w:val="8"/>
    <w:qFormat/>
    <w:uiPriority w:val="0"/>
    <w:rPr>
      <w:rFonts w:ascii="Calibri" w:hAnsi="Calibri" w:eastAsia="宋体" w:cs="宋体"/>
      <w:kern w:val="2"/>
      <w:sz w:val="21"/>
      <w:szCs w:val="22"/>
    </w:rPr>
  </w:style>
  <w:style w:type="paragraph" w:customStyle="1" w:styleId="19">
    <w:name w:val="修订1"/>
    <w:hidden/>
    <w:unhideWhenUsed/>
    <w:qFormat/>
    <w:uiPriority w:val="99"/>
    <w:rPr>
      <w:rFonts w:ascii="Calibri" w:hAnsi="Calibri" w:eastAsia="宋体" w:cs="宋体"/>
      <w:kern w:val="2"/>
      <w:sz w:val="21"/>
      <w:szCs w:val="22"/>
      <w:lang w:val="en-US" w:eastAsia="zh-CN" w:bidi="ar-SA"/>
    </w:rPr>
  </w:style>
  <w:style w:type="character" w:customStyle="1" w:styleId="20">
    <w:name w:val="Other|1_"/>
    <w:basedOn w:val="10"/>
    <w:link w:val="21"/>
    <w:qFormat/>
    <w:uiPriority w:val="0"/>
    <w:rPr>
      <w:rFonts w:ascii="宋体" w:hAnsi="宋体" w:eastAsia="宋体" w:cs="宋体"/>
      <w:color w:val="4C4E52"/>
      <w:sz w:val="22"/>
      <w:lang w:val="zh-TW" w:eastAsia="zh-TW" w:bidi="zh-TW"/>
    </w:rPr>
  </w:style>
  <w:style w:type="paragraph" w:customStyle="1" w:styleId="21">
    <w:name w:val="Other|1"/>
    <w:basedOn w:val="1"/>
    <w:link w:val="20"/>
    <w:qFormat/>
    <w:uiPriority w:val="0"/>
    <w:pPr>
      <w:jc w:val="left"/>
    </w:pPr>
    <w:rPr>
      <w:rFonts w:ascii="宋体" w:hAnsi="宋体"/>
      <w:color w:val="4C4E52"/>
      <w:kern w:val="0"/>
      <w:sz w:val="22"/>
      <w:szCs w:val="20"/>
      <w:lang w:val="zh-TW" w:eastAsia="zh-TW" w:bidi="zh-TW"/>
    </w:rPr>
  </w:style>
  <w:style w:type="paragraph" w:customStyle="1" w:styleId="22">
    <w:name w:val="Heading #1|1"/>
    <w:basedOn w:val="1"/>
    <w:qFormat/>
    <w:uiPriority w:val="0"/>
    <w:pPr>
      <w:spacing w:after="220"/>
      <w:jc w:val="center"/>
      <w:outlineLvl w:val="0"/>
    </w:pPr>
    <w:rPr>
      <w:rFonts w:ascii="宋体" w:hAnsi="宋体"/>
      <w:color w:val="3A3B3E"/>
      <w:sz w:val="32"/>
      <w:szCs w:val="32"/>
      <w:lang w:val="zh-TW" w:eastAsia="zh-TW" w:bidi="zh-TW"/>
    </w:rPr>
  </w:style>
  <w:style w:type="paragraph" w:customStyle="1" w:styleId="23">
    <w:name w:val="Table caption|1"/>
    <w:basedOn w:val="1"/>
    <w:qFormat/>
    <w:uiPriority w:val="0"/>
    <w:pPr>
      <w:spacing w:after="30"/>
      <w:jc w:val="left"/>
    </w:pPr>
    <w:rPr>
      <w:rFonts w:ascii="宋体" w:hAnsi="宋体"/>
      <w:color w:val="4C4E52"/>
      <w:sz w:val="22"/>
      <w:lang w:val="zh-TW" w:eastAsia="zh-TW" w:bidi="zh-TW"/>
    </w:rPr>
  </w:style>
  <w:style w:type="paragraph" w:customStyle="1" w:styleId="24">
    <w:name w:val="Picture caption|1"/>
    <w:basedOn w:val="1"/>
    <w:qFormat/>
    <w:uiPriority w:val="0"/>
    <w:pPr>
      <w:spacing w:after="60" w:line="276" w:lineRule="auto"/>
      <w:ind w:firstLine="480"/>
      <w:jc w:val="left"/>
    </w:pPr>
    <w:rPr>
      <w:rFonts w:ascii="宋体" w:hAnsi="宋体"/>
      <w:color w:val="4C4E52"/>
      <w:sz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772</Words>
  <Characters>4401</Characters>
  <Lines>36</Lines>
  <Paragraphs>10</Paragraphs>
  <TotalTime>7</TotalTime>
  <ScaleCrop>false</ScaleCrop>
  <LinksUpToDate>false</LinksUpToDate>
  <CharactersWithSpaces>5163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2020-05-01T02:26:00Z</dcterms:created>
  <dc:creator>yang-home</dc:creator>
  <cp:lastModifiedBy>倪冠民</cp:lastModifiedBy>
  <cp:lastPrinted>2020-04-28T08:39:00Z</cp:lastPrinted>
  <dcterms:modified xsi:type="dcterms:W3CDTF">2020-07-25T13:35:00Z</dcterms:modified>
  <dc:title>会计师事务所从事证券服务业务备案管理办法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